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A3D4" w14:textId="77777777" w:rsidR="00130DB9" w:rsidRPr="00A54C73" w:rsidRDefault="00130DB9" w:rsidP="00A54C73">
      <w:pPr>
        <w:pStyle w:val="Memo"/>
        <w:rPr>
          <w:sz w:val="28"/>
          <w:szCs w:val="34"/>
        </w:rPr>
      </w:pPr>
    </w:p>
    <w:p w14:paraId="124AE06C" w14:textId="77777777" w:rsidR="00C55945" w:rsidRPr="00A54C73" w:rsidRDefault="00C55945" w:rsidP="00BF1E10">
      <w:pPr>
        <w:pStyle w:val="Memo"/>
        <w:jc w:val="center"/>
        <w:rPr>
          <w:b/>
          <w:bCs/>
          <w:color w:val="1F497D" w:themeColor="text2"/>
          <w:szCs w:val="34"/>
        </w:rPr>
      </w:pPr>
      <w:r w:rsidRPr="00A54C73">
        <w:rPr>
          <w:b/>
          <w:bCs/>
          <w:color w:val="1F497D" w:themeColor="text2"/>
          <w:szCs w:val="34"/>
        </w:rPr>
        <w:t xml:space="preserve">The Gallaher Trust </w:t>
      </w:r>
    </w:p>
    <w:p w14:paraId="5D9051FE" w14:textId="77777777" w:rsidR="00BF1E10" w:rsidRPr="00A54C73" w:rsidRDefault="00C55945" w:rsidP="00BF1E10">
      <w:pPr>
        <w:pStyle w:val="Memo"/>
        <w:jc w:val="center"/>
        <w:rPr>
          <w:color w:val="002060"/>
          <w:sz w:val="28"/>
          <w:szCs w:val="34"/>
        </w:rPr>
      </w:pPr>
      <w:r w:rsidRPr="00A54C73">
        <w:rPr>
          <w:color w:val="002060"/>
          <w:sz w:val="28"/>
          <w:szCs w:val="34"/>
        </w:rPr>
        <w:t xml:space="preserve">Guidelines for Application </w:t>
      </w:r>
      <w:r w:rsidR="00910C4B" w:rsidRPr="00A54C73">
        <w:rPr>
          <w:color w:val="002060"/>
          <w:sz w:val="28"/>
          <w:szCs w:val="34"/>
        </w:rPr>
        <w:t>for a Gallaher Trust Award</w:t>
      </w:r>
    </w:p>
    <w:p w14:paraId="04A67769" w14:textId="77777777" w:rsidR="005D18F0" w:rsidRPr="00A54C73" w:rsidRDefault="005D18F0" w:rsidP="00DF2D1A">
      <w:pPr>
        <w:pStyle w:val="Memo"/>
        <w:spacing w:line="276" w:lineRule="auto"/>
        <w:jc w:val="center"/>
        <w:rPr>
          <w:sz w:val="28"/>
          <w:szCs w:val="34"/>
        </w:rPr>
      </w:pPr>
    </w:p>
    <w:p w14:paraId="6E8B4DAE" w14:textId="77777777" w:rsidR="004B31C2" w:rsidRDefault="005D18F0" w:rsidP="005F31E7">
      <w:pPr>
        <w:pStyle w:val="Memo"/>
        <w:jc w:val="center"/>
        <w:rPr>
          <w:i/>
          <w:color w:val="002060"/>
          <w:sz w:val="20"/>
          <w:szCs w:val="20"/>
          <w:lang w:val="en-GB"/>
        </w:rPr>
      </w:pPr>
      <w:r w:rsidRPr="00A54C73">
        <w:rPr>
          <w:i/>
          <w:color w:val="002060"/>
          <w:sz w:val="20"/>
          <w:szCs w:val="20"/>
          <w:lang w:val="en-GB"/>
        </w:rPr>
        <w:t xml:space="preserve">This information is provided to introduce The Gallaher Trust and help you understand the </w:t>
      </w:r>
      <w:r w:rsidR="00386D20" w:rsidRPr="00A54C73">
        <w:rPr>
          <w:i/>
          <w:color w:val="002060"/>
          <w:sz w:val="20"/>
          <w:szCs w:val="20"/>
          <w:lang w:val="en-GB"/>
        </w:rPr>
        <w:t xml:space="preserve">eligibility criteria and </w:t>
      </w:r>
      <w:r w:rsidRPr="00A54C73">
        <w:rPr>
          <w:i/>
          <w:color w:val="002060"/>
          <w:sz w:val="20"/>
          <w:szCs w:val="20"/>
          <w:lang w:val="en-GB"/>
        </w:rPr>
        <w:t xml:space="preserve">application process for seeking support from the Trust. </w:t>
      </w:r>
    </w:p>
    <w:p w14:paraId="013FAD79" w14:textId="125F56A2" w:rsidR="00BF1E10" w:rsidRPr="004B31C2" w:rsidRDefault="005D18F0" w:rsidP="005F31E7">
      <w:pPr>
        <w:pStyle w:val="Memo"/>
        <w:jc w:val="center"/>
        <w:rPr>
          <w:b/>
          <w:bCs/>
          <w:i/>
          <w:color w:val="002060"/>
          <w:sz w:val="20"/>
          <w:szCs w:val="20"/>
          <w:lang w:val="en-GB"/>
        </w:rPr>
      </w:pPr>
      <w:r w:rsidRPr="004B31C2">
        <w:rPr>
          <w:b/>
          <w:bCs/>
          <w:i/>
          <w:color w:val="002060"/>
          <w:sz w:val="20"/>
          <w:szCs w:val="20"/>
          <w:lang w:val="en-GB"/>
        </w:rPr>
        <w:t xml:space="preserve">Please read this information carefully before completing </w:t>
      </w:r>
      <w:r w:rsidR="001E1E7E" w:rsidRPr="004B31C2">
        <w:rPr>
          <w:b/>
          <w:bCs/>
          <w:i/>
          <w:color w:val="002060"/>
          <w:sz w:val="20"/>
          <w:szCs w:val="20"/>
          <w:lang w:val="en-GB"/>
        </w:rPr>
        <w:t>the a</w:t>
      </w:r>
      <w:r w:rsidRPr="004B31C2">
        <w:rPr>
          <w:b/>
          <w:bCs/>
          <w:i/>
          <w:color w:val="002060"/>
          <w:sz w:val="20"/>
          <w:szCs w:val="20"/>
          <w:lang w:val="en-GB"/>
        </w:rPr>
        <w:t xml:space="preserve">pplication </w:t>
      </w:r>
      <w:r w:rsidR="001E1E7E" w:rsidRPr="004B31C2">
        <w:rPr>
          <w:b/>
          <w:bCs/>
          <w:i/>
          <w:color w:val="002060"/>
          <w:sz w:val="20"/>
          <w:szCs w:val="20"/>
          <w:lang w:val="en-GB"/>
        </w:rPr>
        <w:t>form for a Gallaher Trust Award.</w:t>
      </w:r>
    </w:p>
    <w:p w14:paraId="02EEA286" w14:textId="77777777" w:rsidR="00DF2D1A" w:rsidRPr="00A54C73" w:rsidRDefault="00DF2D1A" w:rsidP="00DF2D1A">
      <w:pPr>
        <w:pStyle w:val="Memo"/>
        <w:spacing w:line="276" w:lineRule="auto"/>
        <w:jc w:val="center"/>
        <w:rPr>
          <w:sz w:val="20"/>
          <w:szCs w:val="20"/>
        </w:rPr>
      </w:pPr>
    </w:p>
    <w:p w14:paraId="17DD9E90" w14:textId="77777777" w:rsidR="005D18F0" w:rsidRPr="00A54C73" w:rsidRDefault="005D18F0" w:rsidP="00E45282">
      <w:pPr>
        <w:jc w:val="both"/>
        <w:rPr>
          <w:b/>
          <w:bCs/>
          <w:color w:val="002060"/>
          <w:sz w:val="20"/>
          <w:szCs w:val="20"/>
        </w:rPr>
      </w:pPr>
      <w:r w:rsidRPr="00A54C73">
        <w:rPr>
          <w:b/>
          <w:bCs/>
          <w:color w:val="002060"/>
          <w:sz w:val="20"/>
          <w:szCs w:val="20"/>
        </w:rPr>
        <w:t>The Gallaher Trust</w:t>
      </w:r>
    </w:p>
    <w:p w14:paraId="2C18BBE9" w14:textId="3D880B75" w:rsidR="00014A1C" w:rsidRPr="00A54C73" w:rsidRDefault="005D18F0" w:rsidP="00E45282">
      <w:pPr>
        <w:jc w:val="both"/>
        <w:rPr>
          <w:color w:val="002060"/>
          <w:sz w:val="20"/>
          <w:szCs w:val="20"/>
        </w:rPr>
      </w:pPr>
      <w:r w:rsidRPr="00A54C73">
        <w:rPr>
          <w:color w:val="002060"/>
          <w:sz w:val="20"/>
          <w:szCs w:val="20"/>
        </w:rPr>
        <w:t xml:space="preserve">The Gallaher Trust is an independent charity which has the objective of promoting job creation and skills development and providing support to </w:t>
      </w:r>
      <w:r w:rsidR="004B31C2">
        <w:rPr>
          <w:color w:val="002060"/>
          <w:sz w:val="20"/>
          <w:szCs w:val="20"/>
        </w:rPr>
        <w:t xml:space="preserve">disadvantaged </w:t>
      </w:r>
      <w:r w:rsidRPr="00A54C73">
        <w:rPr>
          <w:color w:val="002060"/>
          <w:sz w:val="20"/>
          <w:szCs w:val="20"/>
        </w:rPr>
        <w:t>adults in need within the wider Ballymena community.</w:t>
      </w:r>
    </w:p>
    <w:p w14:paraId="4BEDB0AC" w14:textId="77777777" w:rsidR="00167F14" w:rsidRPr="00A54C73" w:rsidRDefault="00167F14" w:rsidP="005F31E7">
      <w:pPr>
        <w:jc w:val="both"/>
        <w:rPr>
          <w:rFonts w:cs="Arial"/>
          <w:color w:val="002060"/>
          <w:sz w:val="20"/>
          <w:szCs w:val="20"/>
          <w:lang w:val="en-GB"/>
        </w:rPr>
      </w:pPr>
    </w:p>
    <w:p w14:paraId="789FA291" w14:textId="77777777" w:rsidR="00ED40F3" w:rsidRPr="00A54C73" w:rsidRDefault="005D18F0" w:rsidP="00ED40F3">
      <w:pPr>
        <w:jc w:val="both"/>
        <w:rPr>
          <w:color w:val="002060"/>
          <w:sz w:val="20"/>
          <w:szCs w:val="20"/>
        </w:rPr>
      </w:pPr>
      <w:r w:rsidRPr="00A54C73">
        <w:rPr>
          <w:color w:val="002060"/>
          <w:sz w:val="20"/>
          <w:szCs w:val="20"/>
        </w:rPr>
        <w:t xml:space="preserve">The Trust was created to administer a £5 million legacy from Japan Tobacco International (JTI), donated in response to the impact of the closure of the JTI (former Gallaher) Lisnafillan Factory in Ballymena. </w:t>
      </w:r>
    </w:p>
    <w:p w14:paraId="1F2C8260" w14:textId="77777777" w:rsidR="00ED40F3" w:rsidRPr="00A54C73" w:rsidRDefault="00ED40F3" w:rsidP="005F31E7">
      <w:pPr>
        <w:jc w:val="both"/>
        <w:rPr>
          <w:rFonts w:cs="Arial"/>
          <w:sz w:val="20"/>
          <w:szCs w:val="20"/>
          <w:lang w:val="en-GB"/>
        </w:rPr>
      </w:pPr>
    </w:p>
    <w:p w14:paraId="09924D5B" w14:textId="77777777" w:rsidR="00B12E45" w:rsidRPr="00A54C73" w:rsidRDefault="005D18F0" w:rsidP="005F31E7">
      <w:pPr>
        <w:spacing w:line="276" w:lineRule="auto"/>
        <w:jc w:val="both"/>
        <w:rPr>
          <w:rFonts w:cs="Arial"/>
          <w:b/>
          <w:bCs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>What we Fund</w:t>
      </w:r>
    </w:p>
    <w:p w14:paraId="4CAE638A" w14:textId="28C46F29" w:rsidR="00014A1C" w:rsidRPr="00A54C73" w:rsidRDefault="005D18F0" w:rsidP="00ED40F3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The Trust aims to support a small number of high value projects over a </w:t>
      </w:r>
      <w:r w:rsidR="004C62EF" w:rsidRPr="00A54C73">
        <w:rPr>
          <w:rFonts w:cs="Arial"/>
          <w:color w:val="002060"/>
          <w:sz w:val="20"/>
          <w:szCs w:val="20"/>
          <w:lang w:val="en-GB"/>
        </w:rPr>
        <w:t>longer-term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period (of up to </w:t>
      </w:r>
      <w:r w:rsidR="0066407C" w:rsidRPr="00A54C73">
        <w:rPr>
          <w:rFonts w:cs="Arial"/>
          <w:color w:val="002060"/>
          <w:sz w:val="20"/>
          <w:szCs w:val="20"/>
          <w:lang w:val="en-GB"/>
        </w:rPr>
        <w:t>three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years) in the following areas:</w:t>
      </w:r>
    </w:p>
    <w:p w14:paraId="592D89E9" w14:textId="77777777" w:rsidR="00337A7F" w:rsidRPr="00A54C73" w:rsidRDefault="00337A7F" w:rsidP="00ED40F3">
      <w:pPr>
        <w:jc w:val="both"/>
        <w:rPr>
          <w:rFonts w:cs="Arial"/>
          <w:sz w:val="20"/>
          <w:szCs w:val="20"/>
          <w:lang w:val="en-GB"/>
        </w:rPr>
      </w:pPr>
    </w:p>
    <w:p w14:paraId="4310953F" w14:textId="5F3157D2" w:rsidR="000D5730" w:rsidRPr="00A54C73" w:rsidRDefault="00CF785F" w:rsidP="00BB0DF7">
      <w:pPr>
        <w:pStyle w:val="ListParagraph"/>
        <w:numPr>
          <w:ilvl w:val="0"/>
          <w:numId w:val="2"/>
        </w:numPr>
        <w:tabs>
          <w:tab w:val="left" w:pos="4253"/>
        </w:tabs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Job Crea</w:t>
      </w:r>
      <w:r w:rsidR="00014A1C" w:rsidRPr="00A54C73">
        <w:rPr>
          <w:rFonts w:cs="Arial"/>
          <w:color w:val="002060"/>
          <w:sz w:val="20"/>
          <w:szCs w:val="20"/>
          <w:lang w:val="en-GB"/>
        </w:rPr>
        <w:t>tion and/or Skills Development P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rojects which will help </w:t>
      </w:r>
      <w:r w:rsidR="00386D20" w:rsidRPr="00A54C73">
        <w:rPr>
          <w:rFonts w:cs="Arial"/>
          <w:color w:val="002060"/>
          <w:sz w:val="20"/>
          <w:szCs w:val="20"/>
          <w:lang w:val="en-GB"/>
        </w:rPr>
        <w:t>the development of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bo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th new and existing businesses</w:t>
      </w:r>
      <w:r w:rsidR="00D53EFC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(individual project value 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normally not less than £50,000 per annum</w:t>
      </w:r>
      <w:r w:rsidR="00D53EFC" w:rsidRPr="00A54C73">
        <w:rPr>
          <w:rFonts w:cs="Arial"/>
          <w:color w:val="002060"/>
          <w:sz w:val="20"/>
          <w:szCs w:val="20"/>
          <w:lang w:val="en-GB"/>
        </w:rPr>
        <w:t xml:space="preserve"> and project expected to create 20 full time jobs over a</w:t>
      </w:r>
      <w:r w:rsidR="0066407C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="00BE43E0" w:rsidRPr="00A54C73">
        <w:rPr>
          <w:rFonts w:cs="Arial"/>
          <w:color w:val="002060"/>
          <w:sz w:val="20"/>
          <w:szCs w:val="20"/>
          <w:lang w:val="en-GB"/>
        </w:rPr>
        <w:t>three-year</w:t>
      </w:r>
      <w:r w:rsidR="00D53EFC" w:rsidRPr="00A54C73">
        <w:rPr>
          <w:rFonts w:cs="Arial"/>
          <w:color w:val="002060"/>
          <w:sz w:val="20"/>
          <w:szCs w:val="20"/>
          <w:lang w:val="en-GB"/>
        </w:rPr>
        <w:t xml:space="preserve"> period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)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</w:p>
    <w:p w14:paraId="6E3A7769" w14:textId="77777777" w:rsidR="005D18F0" w:rsidRPr="00A54C73" w:rsidRDefault="00CF785F" w:rsidP="00BB0DF7">
      <w:pPr>
        <w:pStyle w:val="ListParagraph"/>
        <w:numPr>
          <w:ilvl w:val="0"/>
          <w:numId w:val="2"/>
        </w:numPr>
        <w:tabs>
          <w:tab w:val="left" w:pos="4253"/>
        </w:tabs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Projects supporting 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Disadvantaged Adults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(individual project value around £10,000 - £20,000 per annum)</w:t>
      </w:r>
    </w:p>
    <w:p w14:paraId="5403FC11" w14:textId="77777777" w:rsidR="00ED40F3" w:rsidRPr="00A54C73" w:rsidRDefault="00ED40F3" w:rsidP="00ED40F3">
      <w:pPr>
        <w:pStyle w:val="ListParagraph"/>
        <w:jc w:val="both"/>
        <w:rPr>
          <w:rFonts w:cs="Arial"/>
          <w:sz w:val="20"/>
          <w:szCs w:val="20"/>
          <w:lang w:val="en-GB"/>
        </w:rPr>
      </w:pPr>
    </w:p>
    <w:p w14:paraId="1944CB35" w14:textId="4F2897D4" w:rsidR="005E6662" w:rsidRPr="00A54C73" w:rsidRDefault="005E6662" w:rsidP="00ED40F3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Examples of past and current projects can be </w:t>
      </w:r>
      <w:r w:rsidR="006C3B48" w:rsidRPr="00A54C73">
        <w:rPr>
          <w:rFonts w:cs="Arial"/>
          <w:color w:val="002060"/>
          <w:sz w:val="20"/>
          <w:szCs w:val="20"/>
          <w:lang w:val="en-GB"/>
        </w:rPr>
        <w:t xml:space="preserve">found </w:t>
      </w:r>
      <w:r w:rsidRPr="00A54C73">
        <w:rPr>
          <w:rFonts w:cs="Arial"/>
          <w:color w:val="002060"/>
          <w:sz w:val="20"/>
          <w:szCs w:val="20"/>
          <w:lang w:val="en-GB"/>
        </w:rPr>
        <w:t>on our website</w:t>
      </w:r>
      <w:r w:rsidR="005618A5" w:rsidRPr="00A54C73">
        <w:rPr>
          <w:rFonts w:cs="Arial"/>
          <w:color w:val="002060"/>
          <w:sz w:val="20"/>
          <w:szCs w:val="20"/>
          <w:lang w:val="en-GB"/>
        </w:rPr>
        <w:t>,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hyperlink r:id="rId11" w:history="1">
        <w:r w:rsidRPr="00A54C73">
          <w:rPr>
            <w:rStyle w:val="Hyperlink"/>
            <w:rFonts w:cs="Arial"/>
            <w:sz w:val="20"/>
            <w:szCs w:val="20"/>
            <w:lang w:val="en-GB"/>
          </w:rPr>
          <w:t>www.thegallahertrust.org</w:t>
        </w:r>
      </w:hyperlink>
      <w:r w:rsidRPr="00A54C73">
        <w:rPr>
          <w:rFonts w:cs="Arial"/>
          <w:color w:val="002060"/>
          <w:sz w:val="20"/>
          <w:szCs w:val="20"/>
          <w:lang w:val="en-GB"/>
        </w:rPr>
        <w:t>.</w:t>
      </w:r>
    </w:p>
    <w:p w14:paraId="6C51ACDD" w14:textId="77777777" w:rsidR="005E6662" w:rsidRPr="00A54C73" w:rsidRDefault="005E6662" w:rsidP="00ED40F3">
      <w:pPr>
        <w:jc w:val="both"/>
        <w:rPr>
          <w:rFonts w:cs="Arial"/>
          <w:color w:val="002060"/>
          <w:sz w:val="20"/>
          <w:szCs w:val="20"/>
          <w:lang w:val="en-GB"/>
        </w:rPr>
      </w:pPr>
    </w:p>
    <w:p w14:paraId="37E9FB02" w14:textId="532C7A03" w:rsidR="005D18F0" w:rsidRPr="00A54C73" w:rsidRDefault="005D18F0" w:rsidP="00ED40F3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The Trust has an annual budget 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 xml:space="preserve">of </w:t>
      </w:r>
      <w:r w:rsidR="007524C5" w:rsidRPr="00A54C73">
        <w:rPr>
          <w:rFonts w:cs="Arial"/>
          <w:color w:val="002060"/>
          <w:sz w:val="20"/>
          <w:szCs w:val="20"/>
          <w:lang w:val="en-GB"/>
        </w:rPr>
        <w:t xml:space="preserve">around 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£3</w:t>
      </w:r>
      <w:r w:rsidR="0097355F" w:rsidRPr="00A54C73">
        <w:rPr>
          <w:rFonts w:cs="Arial"/>
          <w:color w:val="002060"/>
          <w:sz w:val="20"/>
          <w:szCs w:val="20"/>
          <w:lang w:val="en-GB"/>
        </w:rPr>
        <w:t>50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 xml:space="preserve">,000 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for </w:t>
      </w:r>
      <w:r w:rsidR="00910C4B" w:rsidRPr="00A54C73">
        <w:rPr>
          <w:rFonts w:cs="Arial"/>
          <w:color w:val="002060"/>
          <w:sz w:val="20"/>
          <w:szCs w:val="20"/>
          <w:lang w:val="en-GB"/>
        </w:rPr>
        <w:t>granting awards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,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="005F31E7" w:rsidRPr="00A54C73">
        <w:rPr>
          <w:rFonts w:cs="Arial"/>
          <w:color w:val="002060"/>
          <w:sz w:val="20"/>
          <w:szCs w:val="20"/>
          <w:lang w:val="en-GB"/>
        </w:rPr>
        <w:t xml:space="preserve">which is </w:t>
      </w:r>
      <w:r w:rsidR="001166ED" w:rsidRPr="00A54C73">
        <w:rPr>
          <w:rFonts w:cs="Arial"/>
          <w:color w:val="002060"/>
          <w:sz w:val="20"/>
          <w:szCs w:val="20"/>
          <w:lang w:val="en-GB"/>
        </w:rPr>
        <w:t xml:space="preserve">normally </w:t>
      </w:r>
      <w:r w:rsidRPr="00A54C73">
        <w:rPr>
          <w:rFonts w:cs="Arial"/>
          <w:color w:val="002060"/>
          <w:sz w:val="20"/>
          <w:szCs w:val="20"/>
          <w:lang w:val="en-GB"/>
        </w:rPr>
        <w:t>allocated as follows:</w:t>
      </w:r>
    </w:p>
    <w:p w14:paraId="264F459C" w14:textId="77777777" w:rsidR="00ED40F3" w:rsidRPr="00A54C73" w:rsidRDefault="00ED40F3" w:rsidP="00ED40F3">
      <w:pPr>
        <w:jc w:val="both"/>
        <w:rPr>
          <w:rFonts w:cs="Arial"/>
          <w:sz w:val="20"/>
          <w:szCs w:val="20"/>
          <w:lang w:val="en-GB"/>
        </w:rPr>
      </w:pPr>
    </w:p>
    <w:tbl>
      <w:tblPr>
        <w:tblStyle w:val="TableGrid"/>
        <w:tblW w:w="6388" w:type="dxa"/>
        <w:jc w:val="center"/>
        <w:tblLook w:val="04A0" w:firstRow="1" w:lastRow="0" w:firstColumn="1" w:lastColumn="0" w:noHBand="0" w:noVBand="1"/>
      </w:tblPr>
      <w:tblGrid>
        <w:gridCol w:w="4248"/>
        <w:gridCol w:w="2140"/>
      </w:tblGrid>
      <w:tr w:rsidR="0097355F" w:rsidRPr="00A54C73" w14:paraId="2497743F" w14:textId="77777777" w:rsidTr="00A54C73">
        <w:trPr>
          <w:trHeight w:val="377"/>
          <w:jc w:val="center"/>
        </w:trPr>
        <w:tc>
          <w:tcPr>
            <w:tcW w:w="4248" w:type="dxa"/>
            <w:vAlign w:val="center"/>
          </w:tcPr>
          <w:p w14:paraId="4A2E28E5" w14:textId="77777777" w:rsidR="0045183B" w:rsidRPr="00A54C73" w:rsidRDefault="00910C4B" w:rsidP="003341EC">
            <w:pPr>
              <w:spacing w:line="360" w:lineRule="auto"/>
              <w:rPr>
                <w:rFonts w:cs="Arial"/>
                <w:b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Award</w:t>
            </w:r>
            <w:r w:rsidR="0045183B"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 xml:space="preserve"> Category</w:t>
            </w:r>
          </w:p>
        </w:tc>
        <w:tc>
          <w:tcPr>
            <w:tcW w:w="2140" w:type="dxa"/>
            <w:vAlign w:val="center"/>
          </w:tcPr>
          <w:p w14:paraId="67E3AE02" w14:textId="77777777" w:rsidR="0045183B" w:rsidRPr="00A54C73" w:rsidRDefault="0045183B" w:rsidP="003341EC">
            <w:pPr>
              <w:spacing w:line="360" w:lineRule="auto"/>
              <w:jc w:val="center"/>
              <w:rPr>
                <w:rFonts w:cs="Arial"/>
                <w:b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Annual Budget (£)</w:t>
            </w:r>
          </w:p>
        </w:tc>
      </w:tr>
      <w:tr w:rsidR="0097355F" w:rsidRPr="00A54C73" w14:paraId="77295281" w14:textId="77777777" w:rsidTr="00A54C73">
        <w:trPr>
          <w:trHeight w:val="377"/>
          <w:jc w:val="center"/>
        </w:trPr>
        <w:tc>
          <w:tcPr>
            <w:tcW w:w="4248" w:type="dxa"/>
            <w:vAlign w:val="center"/>
          </w:tcPr>
          <w:p w14:paraId="61534F7B" w14:textId="77777777" w:rsidR="0045183B" w:rsidRPr="00A54C73" w:rsidRDefault="0045183B" w:rsidP="003341EC">
            <w:pPr>
              <w:spacing w:line="360" w:lineRule="auto"/>
              <w:rPr>
                <w:rFonts w:cs="Arial"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Job Creation / Skills Development Projects</w:t>
            </w:r>
          </w:p>
        </w:tc>
        <w:tc>
          <w:tcPr>
            <w:tcW w:w="2140" w:type="dxa"/>
            <w:vAlign w:val="center"/>
          </w:tcPr>
          <w:p w14:paraId="541CFD2C" w14:textId="34E047F5" w:rsidR="0045183B" w:rsidRPr="00A54C73" w:rsidRDefault="00ED40F3" w:rsidP="003341EC">
            <w:pPr>
              <w:spacing w:line="360" w:lineRule="auto"/>
              <w:jc w:val="center"/>
              <w:rPr>
                <w:rFonts w:cs="Arial"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2</w:t>
            </w:r>
            <w:r w:rsidR="0097355F"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8</w:t>
            </w:r>
            <w:r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0,000</w:t>
            </w:r>
          </w:p>
        </w:tc>
      </w:tr>
      <w:tr w:rsidR="0097355F" w:rsidRPr="00A54C73" w14:paraId="4AC5F316" w14:textId="77777777" w:rsidTr="00A54C73">
        <w:trPr>
          <w:trHeight w:val="377"/>
          <w:jc w:val="center"/>
        </w:trPr>
        <w:tc>
          <w:tcPr>
            <w:tcW w:w="4248" w:type="dxa"/>
            <w:vAlign w:val="center"/>
          </w:tcPr>
          <w:p w14:paraId="074F10AF" w14:textId="77777777" w:rsidR="0045183B" w:rsidRPr="00A54C73" w:rsidRDefault="00ED40F3" w:rsidP="003341EC">
            <w:pPr>
              <w:spacing w:line="360" w:lineRule="auto"/>
              <w:rPr>
                <w:rFonts w:cs="Arial"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Disadvantaged Adults</w:t>
            </w:r>
          </w:p>
        </w:tc>
        <w:tc>
          <w:tcPr>
            <w:tcW w:w="2140" w:type="dxa"/>
            <w:vAlign w:val="center"/>
          </w:tcPr>
          <w:p w14:paraId="7F3FB9C0" w14:textId="77777777" w:rsidR="0045183B" w:rsidRPr="00A54C73" w:rsidRDefault="00ED40F3" w:rsidP="003341EC">
            <w:pPr>
              <w:spacing w:line="360" w:lineRule="auto"/>
              <w:jc w:val="center"/>
              <w:rPr>
                <w:rFonts w:cs="Arial"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color w:val="002060"/>
                <w:sz w:val="20"/>
                <w:szCs w:val="20"/>
                <w:lang w:val="en-GB"/>
              </w:rPr>
              <w:t>70,000</w:t>
            </w:r>
          </w:p>
        </w:tc>
      </w:tr>
      <w:tr w:rsidR="0097355F" w:rsidRPr="00A54C73" w14:paraId="4175B0DB" w14:textId="77777777" w:rsidTr="00A54C73">
        <w:trPr>
          <w:trHeight w:val="377"/>
          <w:jc w:val="center"/>
        </w:trPr>
        <w:tc>
          <w:tcPr>
            <w:tcW w:w="4248" w:type="dxa"/>
            <w:vAlign w:val="center"/>
          </w:tcPr>
          <w:p w14:paraId="270B620B" w14:textId="77777777" w:rsidR="0045183B" w:rsidRPr="00A54C73" w:rsidRDefault="00ED40F3" w:rsidP="003341EC">
            <w:pPr>
              <w:spacing w:line="360" w:lineRule="auto"/>
              <w:rPr>
                <w:rFonts w:cs="Arial"/>
                <w:b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Total Annual Budget</w:t>
            </w:r>
          </w:p>
        </w:tc>
        <w:tc>
          <w:tcPr>
            <w:tcW w:w="2140" w:type="dxa"/>
            <w:vAlign w:val="center"/>
          </w:tcPr>
          <w:p w14:paraId="7ABD0BAC" w14:textId="41964EA5" w:rsidR="0045183B" w:rsidRPr="00A54C73" w:rsidRDefault="00ED40F3" w:rsidP="003341EC">
            <w:pPr>
              <w:spacing w:line="360" w:lineRule="auto"/>
              <w:jc w:val="center"/>
              <w:rPr>
                <w:rFonts w:cs="Arial"/>
                <w:b/>
                <w:color w:val="002060"/>
                <w:sz w:val="20"/>
                <w:szCs w:val="20"/>
                <w:lang w:val="en-GB"/>
              </w:rPr>
            </w:pPr>
            <w:r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3</w:t>
            </w:r>
            <w:r w:rsidR="0097355F"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5</w:t>
            </w:r>
            <w:r w:rsidRPr="00A54C73">
              <w:rPr>
                <w:rFonts w:cs="Arial"/>
                <w:b/>
                <w:color w:val="002060"/>
                <w:sz w:val="20"/>
                <w:szCs w:val="20"/>
                <w:lang w:val="en-GB"/>
              </w:rPr>
              <w:t>0,000</w:t>
            </w:r>
          </w:p>
        </w:tc>
      </w:tr>
    </w:tbl>
    <w:p w14:paraId="5B0EA6A3" w14:textId="77777777" w:rsidR="002840B0" w:rsidRPr="00A54C73" w:rsidRDefault="002840B0" w:rsidP="00ED40F3">
      <w:pPr>
        <w:jc w:val="both"/>
        <w:rPr>
          <w:rFonts w:cs="Arial"/>
          <w:sz w:val="20"/>
          <w:szCs w:val="20"/>
          <w:lang w:val="en-GB"/>
        </w:rPr>
      </w:pPr>
    </w:p>
    <w:p w14:paraId="13521529" w14:textId="15C7B370" w:rsidR="005412A8" w:rsidRPr="00A54C73" w:rsidRDefault="002840B0" w:rsidP="002840B0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In addition to welcoming applications via our website, we also </w:t>
      </w:r>
      <w:r w:rsidR="004C62EF" w:rsidRPr="00A54C73">
        <w:rPr>
          <w:rFonts w:cs="Arial"/>
          <w:color w:val="002060"/>
          <w:sz w:val="20"/>
          <w:szCs w:val="20"/>
          <w:lang w:val="en-GB"/>
        </w:rPr>
        <w:t>actively seek</w:t>
      </w:r>
      <w:r w:rsidR="00D53EFC" w:rsidRPr="00A54C73">
        <w:rPr>
          <w:rFonts w:cs="Arial"/>
          <w:color w:val="002060"/>
          <w:sz w:val="20"/>
          <w:szCs w:val="20"/>
          <w:lang w:val="en-GB"/>
        </w:rPr>
        <w:t xml:space="preserve"> delivery partners and</w:t>
      </w:r>
      <w:r w:rsidR="004C62EF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projects that meet our objectives. </w:t>
      </w:r>
    </w:p>
    <w:p w14:paraId="57DDBCB1" w14:textId="77777777" w:rsidR="005412A8" w:rsidRPr="00A54C73" w:rsidRDefault="005412A8" w:rsidP="002840B0">
      <w:pPr>
        <w:jc w:val="both"/>
        <w:rPr>
          <w:rFonts w:cs="Arial"/>
          <w:color w:val="002060"/>
          <w:sz w:val="20"/>
          <w:szCs w:val="20"/>
          <w:lang w:val="en-GB"/>
        </w:rPr>
      </w:pPr>
    </w:p>
    <w:p w14:paraId="2C3D3540" w14:textId="4A377A03" w:rsidR="002840B0" w:rsidRPr="00A54C73" w:rsidRDefault="002840B0" w:rsidP="002840B0">
      <w:pPr>
        <w:spacing w:line="276" w:lineRule="auto"/>
        <w:jc w:val="both"/>
        <w:rPr>
          <w:rFonts w:cs="Arial"/>
          <w:b/>
          <w:bCs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>Eligibility for Awards</w:t>
      </w:r>
    </w:p>
    <w:p w14:paraId="433094CB" w14:textId="77777777" w:rsidR="00386D20" w:rsidRPr="00A54C73" w:rsidRDefault="002840B0" w:rsidP="00386D20">
      <w:pPr>
        <w:pStyle w:val="ListParagraph"/>
        <w:numPr>
          <w:ilvl w:val="0"/>
          <w:numId w:val="4"/>
        </w:numPr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We can only support applications that are aligned to 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 xml:space="preserve">the Trust’s objectives </w:t>
      </w:r>
      <w:r w:rsidR="00386D20" w:rsidRPr="00A54C73">
        <w:rPr>
          <w:rFonts w:cs="Arial"/>
          <w:color w:val="002060"/>
          <w:sz w:val="20"/>
          <w:szCs w:val="20"/>
          <w:lang w:val="en-GB"/>
        </w:rPr>
        <w:t>of promoting job creation and skills development and prov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 xml:space="preserve">iding support to 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disadvantaged adults</w:t>
      </w:r>
    </w:p>
    <w:p w14:paraId="39C90098" w14:textId="5A05F7F6" w:rsidR="00016D6A" w:rsidRPr="00A54C73" w:rsidRDefault="00016D6A" w:rsidP="00386D20">
      <w:pPr>
        <w:pStyle w:val="ListParagraph"/>
        <w:numPr>
          <w:ilvl w:val="0"/>
          <w:numId w:val="4"/>
        </w:numPr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For the sake of clarity, the Trust is unable to support projects that involve children or are health</w:t>
      </w:r>
      <w:r w:rsidR="004C62EF" w:rsidRPr="00A54C73">
        <w:rPr>
          <w:rFonts w:cs="Arial"/>
          <w:color w:val="002060"/>
          <w:sz w:val="20"/>
          <w:szCs w:val="20"/>
          <w:lang w:val="en-GB"/>
        </w:rPr>
        <w:t xml:space="preserve"> or sport </w:t>
      </w:r>
      <w:r w:rsidRPr="00A54C73">
        <w:rPr>
          <w:rFonts w:cs="Arial"/>
          <w:color w:val="002060"/>
          <w:sz w:val="20"/>
          <w:szCs w:val="20"/>
          <w:lang w:val="en-GB"/>
        </w:rPr>
        <w:t>related</w:t>
      </w:r>
    </w:p>
    <w:p w14:paraId="6F28A0AE" w14:textId="62922852" w:rsidR="002840B0" w:rsidRPr="00A54C73" w:rsidRDefault="002840B0" w:rsidP="008F5517">
      <w:pPr>
        <w:pStyle w:val="ListParagraph"/>
        <w:numPr>
          <w:ilvl w:val="0"/>
          <w:numId w:val="4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Organisations applying for support must be run for charitable purposes or on a social enterprise/not-for-profit basis. (Organisations do not have to be registered charities but must show evidence of formal structure and </w:t>
      </w:r>
      <w:r w:rsidRPr="00A54C73">
        <w:rPr>
          <w:rFonts w:cs="Arial"/>
          <w:color w:val="002060"/>
          <w:sz w:val="20"/>
          <w:szCs w:val="20"/>
          <w:lang w:val="en-GB"/>
        </w:rPr>
        <w:lastRenderedPageBreak/>
        <w:t>sound governance)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 xml:space="preserve">. For the avoidance of doubt, we cannot provide funding directly to a profit-making business. If you are a business seeking direct funding, please </w:t>
      </w:r>
      <w:r w:rsidR="001E65AE" w:rsidRPr="00A54C73">
        <w:rPr>
          <w:rFonts w:cs="Arial"/>
          <w:color w:val="002060"/>
          <w:sz w:val="20"/>
          <w:szCs w:val="20"/>
          <w:lang w:val="en-GB"/>
        </w:rPr>
        <w:t>read the section “</w:t>
      </w:r>
      <w:r w:rsidR="001E65AE" w:rsidRPr="00A54C73">
        <w:rPr>
          <w:rFonts w:cs="Arial"/>
          <w:b/>
          <w:color w:val="002060"/>
          <w:sz w:val="20"/>
          <w:szCs w:val="20"/>
          <w:lang w:val="en-GB"/>
        </w:rPr>
        <w:t>Businesses</w:t>
      </w:r>
      <w:r w:rsidR="001E65AE" w:rsidRPr="00A54C73">
        <w:rPr>
          <w:rFonts w:cs="Arial"/>
          <w:color w:val="002060"/>
          <w:sz w:val="20"/>
          <w:szCs w:val="20"/>
          <w:lang w:val="en-GB"/>
        </w:rPr>
        <w:t>” below</w:t>
      </w:r>
    </w:p>
    <w:p w14:paraId="04A92EC6" w14:textId="1BEB1CDE" w:rsidR="002840B0" w:rsidRPr="00A54C73" w:rsidRDefault="002840B0" w:rsidP="002840B0">
      <w:pPr>
        <w:pStyle w:val="ListParagraph"/>
        <w:numPr>
          <w:ilvl w:val="0"/>
          <w:numId w:val="4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The project must benefit those livi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>ng in the wider Ballymena area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,</w:t>
      </w:r>
      <w:r w:rsidR="0097355F" w:rsidRPr="00A54C73">
        <w:rPr>
          <w:rFonts w:cs="Arial"/>
          <w:color w:val="002060"/>
          <w:sz w:val="20"/>
          <w:szCs w:val="20"/>
          <w:lang w:val="en-GB"/>
        </w:rPr>
        <w:t xml:space="preserve"> defined as the former Ballymena Council Area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 xml:space="preserve"> however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,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applicants </w:t>
      </w:r>
      <w:r w:rsidR="00D22151" w:rsidRPr="00A54C73">
        <w:rPr>
          <w:rFonts w:cs="Arial"/>
          <w:color w:val="002060"/>
          <w:sz w:val="20"/>
          <w:szCs w:val="20"/>
          <w:lang w:val="en-GB"/>
        </w:rPr>
        <w:t xml:space="preserve">can be part of a </w:t>
      </w:r>
      <w:r w:rsidRPr="00A54C73">
        <w:rPr>
          <w:rFonts w:cs="Arial"/>
          <w:color w:val="002060"/>
          <w:sz w:val="20"/>
          <w:szCs w:val="20"/>
          <w:lang w:val="en-GB"/>
        </w:rPr>
        <w:t>na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tional or international charity</w:t>
      </w:r>
    </w:p>
    <w:p w14:paraId="69740345" w14:textId="77777777" w:rsidR="002840B0" w:rsidRPr="00A54C73" w:rsidRDefault="002840B0" w:rsidP="002840B0">
      <w:pPr>
        <w:pStyle w:val="ListParagraph"/>
        <w:numPr>
          <w:ilvl w:val="0"/>
          <w:numId w:val="4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Given that our resources cannot meet every need, the Trust prefers </w:t>
      </w:r>
      <w:r w:rsidRPr="00A54C73">
        <w:rPr>
          <w:rFonts w:cs="Arial"/>
          <w:color w:val="002060"/>
          <w:sz w:val="20"/>
          <w:szCs w:val="20"/>
          <w:u w:val="single"/>
          <w:lang w:val="en-GB"/>
        </w:rPr>
        <w:t>not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to fund projects that could be eligible for statutory or oth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er pre-existing funding sources</w:t>
      </w:r>
    </w:p>
    <w:p w14:paraId="22AE67C1" w14:textId="77777777" w:rsidR="002840B0" w:rsidRPr="00A54C73" w:rsidRDefault="002840B0" w:rsidP="002840B0">
      <w:pPr>
        <w:pStyle w:val="ListParagraph"/>
        <w:numPr>
          <w:ilvl w:val="0"/>
          <w:numId w:val="4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Awards can be used in conjunction with 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other funding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sources you may have already secured. The Trust would not normally expect applicant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s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to ask fo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r 100% funding for a project</w:t>
      </w:r>
    </w:p>
    <w:p w14:paraId="17CF09FE" w14:textId="77777777" w:rsidR="002840B0" w:rsidRPr="00A54C73" w:rsidRDefault="002840B0" w:rsidP="002840B0">
      <w:pPr>
        <w:pStyle w:val="ListParagraph"/>
        <w:numPr>
          <w:ilvl w:val="0"/>
          <w:numId w:val="4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Applications for Awards will only be considered on the relevant Trust Application Form. Please complete the form clearly and answer all questions as fully as possible. Incomplete applications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,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or those lacking information or supportin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g documentation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,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 xml:space="preserve"> may be declined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</w:p>
    <w:p w14:paraId="76FF9468" w14:textId="6559E53C" w:rsidR="00202B9F" w:rsidRPr="00A54C73" w:rsidRDefault="00E45282" w:rsidP="002840B0">
      <w:pPr>
        <w:pStyle w:val="ListParagraph"/>
        <w:numPr>
          <w:ilvl w:val="0"/>
          <w:numId w:val="4"/>
        </w:numPr>
        <w:jc w:val="both"/>
        <w:rPr>
          <w:rFonts w:cs="Arial"/>
          <w:b/>
          <w:bCs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>The</w:t>
      </w:r>
      <w:r w:rsidR="00202B9F"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 Trust </w:t>
      </w: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is oversubscribed each </w:t>
      </w:r>
      <w:r w:rsidR="00D53EFC" w:rsidRPr="00A54C73">
        <w:rPr>
          <w:rFonts w:cs="Arial"/>
          <w:b/>
          <w:bCs/>
          <w:color w:val="002060"/>
          <w:sz w:val="20"/>
          <w:szCs w:val="20"/>
          <w:lang w:val="en-GB"/>
        </w:rPr>
        <w:t>year,</w:t>
      </w: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 and it is strongly advised that you discuss you</w:t>
      </w:r>
      <w:r w:rsidR="00D53EFC" w:rsidRPr="00A54C73">
        <w:rPr>
          <w:rFonts w:cs="Arial"/>
          <w:b/>
          <w:bCs/>
          <w:color w:val="002060"/>
          <w:sz w:val="20"/>
          <w:szCs w:val="20"/>
          <w:lang w:val="en-GB"/>
        </w:rPr>
        <w:t>r</w:t>
      </w: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 project with </w:t>
      </w:r>
      <w:r w:rsidR="00D53EFC" w:rsidRPr="00A54C73">
        <w:rPr>
          <w:rFonts w:cs="Arial"/>
          <w:b/>
          <w:bCs/>
          <w:color w:val="002060"/>
          <w:sz w:val="20"/>
          <w:szCs w:val="20"/>
          <w:lang w:val="en-GB"/>
        </w:rPr>
        <w:t>us</w:t>
      </w: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 in advance of </w:t>
      </w:r>
      <w:r w:rsidR="00D53EFC" w:rsidRPr="00A54C73">
        <w:rPr>
          <w:rFonts w:cs="Arial"/>
          <w:b/>
          <w:bCs/>
          <w:color w:val="002060"/>
          <w:sz w:val="20"/>
          <w:szCs w:val="20"/>
          <w:lang w:val="en-GB"/>
        </w:rPr>
        <w:t>applying to ensure it has its best chance of success</w:t>
      </w:r>
    </w:p>
    <w:p w14:paraId="7CBF158F" w14:textId="77777777" w:rsidR="002840B0" w:rsidRPr="00A54C73" w:rsidRDefault="002840B0" w:rsidP="002840B0">
      <w:pPr>
        <w:jc w:val="both"/>
        <w:rPr>
          <w:rFonts w:cs="Arial"/>
          <w:sz w:val="20"/>
          <w:szCs w:val="20"/>
          <w:lang w:val="en-GB"/>
        </w:rPr>
      </w:pPr>
    </w:p>
    <w:p w14:paraId="49AB094F" w14:textId="77777777" w:rsidR="002840B0" w:rsidRPr="00A54C73" w:rsidRDefault="002840B0" w:rsidP="00167F14">
      <w:pPr>
        <w:spacing w:line="276" w:lineRule="auto"/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>Conditions of Awards</w:t>
      </w:r>
    </w:p>
    <w:p w14:paraId="4190E701" w14:textId="77777777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All applicants must supply a copy of their most recent financial accounts or, in the case of new organisations, a 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copy of a recent bank statement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</w:p>
    <w:p w14:paraId="6EFAD9E4" w14:textId="77777777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Payment can only be made to organisations not to individuals</w:t>
      </w:r>
    </w:p>
    <w:p w14:paraId="2885F970" w14:textId="09BBF48C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Project KPIs will be agreed and monitored</w:t>
      </w:r>
      <w:r w:rsidR="004D00CF" w:rsidRPr="00A54C73">
        <w:rPr>
          <w:rFonts w:cs="Arial"/>
          <w:color w:val="002060"/>
          <w:sz w:val="20"/>
          <w:szCs w:val="20"/>
          <w:lang w:val="en-GB"/>
        </w:rPr>
        <w:t xml:space="preserve"> on a regular basis</w:t>
      </w:r>
    </w:p>
    <w:p w14:paraId="36BF1009" w14:textId="07884158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Beneficiaries will be required to sign a Legal </w:t>
      </w:r>
      <w:r w:rsidR="004C62EF" w:rsidRPr="00A54C73">
        <w:rPr>
          <w:rFonts w:cs="Arial"/>
          <w:color w:val="002060"/>
          <w:sz w:val="20"/>
          <w:szCs w:val="20"/>
          <w:lang w:val="en-GB"/>
        </w:rPr>
        <w:t xml:space="preserve">Funding Agreement </w:t>
      </w:r>
      <w:r w:rsidRPr="00A54C73">
        <w:rPr>
          <w:rFonts w:cs="Arial"/>
          <w:color w:val="002060"/>
          <w:sz w:val="20"/>
          <w:szCs w:val="20"/>
          <w:lang w:val="en-GB"/>
        </w:rPr>
        <w:t>setting out the terms and conditions of the Award</w:t>
      </w:r>
    </w:p>
    <w:p w14:paraId="5AD6F4A5" w14:textId="77777777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We ask that you publicly acknowledge The Gallaher Trust Award in a way that will be mutually agreed in the terms and conditions of the Award</w:t>
      </w:r>
    </w:p>
    <w:p w14:paraId="037453CF" w14:textId="77777777" w:rsidR="002840B0" w:rsidRPr="00A54C73" w:rsidRDefault="002840B0" w:rsidP="002840B0">
      <w:pPr>
        <w:pStyle w:val="ListParagraph"/>
        <w:numPr>
          <w:ilvl w:val="0"/>
          <w:numId w:val="3"/>
        </w:num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All information received will be trea</w:t>
      </w:r>
      <w:r w:rsidR="00167F14" w:rsidRPr="00A54C73">
        <w:rPr>
          <w:rFonts w:cs="Arial"/>
          <w:color w:val="002060"/>
          <w:sz w:val="20"/>
          <w:szCs w:val="20"/>
          <w:lang w:val="en-GB"/>
        </w:rPr>
        <w:t>ted in the strictest confidence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</w:p>
    <w:p w14:paraId="20BFD4F6" w14:textId="77777777" w:rsidR="002840B0" w:rsidRPr="00A54C73" w:rsidRDefault="002840B0" w:rsidP="002840B0">
      <w:pPr>
        <w:jc w:val="both"/>
        <w:rPr>
          <w:rFonts w:cs="Arial"/>
          <w:sz w:val="20"/>
          <w:szCs w:val="20"/>
          <w:lang w:val="en-GB"/>
        </w:rPr>
      </w:pPr>
    </w:p>
    <w:p w14:paraId="7A59B403" w14:textId="77777777" w:rsidR="002840B0" w:rsidRPr="00A54C73" w:rsidRDefault="002840B0" w:rsidP="00167F14">
      <w:pPr>
        <w:spacing w:line="276" w:lineRule="auto"/>
        <w:jc w:val="both"/>
        <w:rPr>
          <w:rFonts w:cs="Arial"/>
          <w:b/>
          <w:bCs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Unsuccessful Applications </w:t>
      </w:r>
    </w:p>
    <w:p w14:paraId="6045F7E9" w14:textId="14335E00" w:rsidR="002840B0" w:rsidRPr="00A54C73" w:rsidRDefault="00AB7396" w:rsidP="002840B0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The Trust reserves the right</w:t>
      </w:r>
      <w:r w:rsidR="002840B0" w:rsidRPr="00A54C73">
        <w:rPr>
          <w:rFonts w:cs="Arial"/>
          <w:color w:val="002060"/>
          <w:sz w:val="20"/>
          <w:szCs w:val="20"/>
          <w:lang w:val="en-GB"/>
        </w:rPr>
        <w:t xml:space="preserve"> to refuse applications without giving reasons to the </w:t>
      </w:r>
      <w:r w:rsidR="005E6662" w:rsidRPr="00A54C73">
        <w:rPr>
          <w:rFonts w:cs="Arial"/>
          <w:color w:val="002060"/>
          <w:sz w:val="20"/>
          <w:szCs w:val="20"/>
          <w:lang w:val="en-GB"/>
        </w:rPr>
        <w:t>applicant or</w:t>
      </w:r>
      <w:r w:rsidR="002840B0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proofErr w:type="gramStart"/>
      <w:r w:rsidR="002840B0" w:rsidRPr="00A54C73">
        <w:rPr>
          <w:rFonts w:cs="Arial"/>
          <w:color w:val="002060"/>
          <w:sz w:val="20"/>
          <w:szCs w:val="20"/>
          <w:lang w:val="en-GB"/>
        </w:rPr>
        <w:t>enter into</w:t>
      </w:r>
      <w:proofErr w:type="gramEnd"/>
      <w:r w:rsidR="002840B0" w:rsidRPr="00A54C73">
        <w:rPr>
          <w:rFonts w:cs="Arial"/>
          <w:color w:val="002060"/>
          <w:sz w:val="20"/>
          <w:szCs w:val="20"/>
          <w:lang w:val="en-GB"/>
        </w:rPr>
        <w:t xml:space="preserve"> communication about the refusal. An Award refused on one occasion does not mean that the Trust will refuse a future request from an eligible applicant.</w:t>
      </w:r>
    </w:p>
    <w:p w14:paraId="77448853" w14:textId="77777777" w:rsidR="002840B0" w:rsidRPr="00A54C73" w:rsidRDefault="002840B0" w:rsidP="002840B0">
      <w:pPr>
        <w:jc w:val="both"/>
        <w:rPr>
          <w:rFonts w:cs="Arial"/>
          <w:sz w:val="20"/>
          <w:szCs w:val="20"/>
          <w:lang w:val="en-GB"/>
        </w:rPr>
      </w:pPr>
    </w:p>
    <w:p w14:paraId="1B2EC5ED" w14:textId="11E29A40" w:rsidR="002840B0" w:rsidRPr="00A54C73" w:rsidRDefault="00167F14" w:rsidP="002840B0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If you have any questions, </w:t>
      </w:r>
      <w:r w:rsidR="001E1E7E" w:rsidRPr="00A54C73">
        <w:rPr>
          <w:rFonts w:cs="Arial"/>
          <w:color w:val="002060"/>
          <w:sz w:val="20"/>
          <w:szCs w:val="20"/>
          <w:lang w:val="en-GB"/>
        </w:rPr>
        <w:t>c</w:t>
      </w:r>
      <w:r w:rsidR="002840B0" w:rsidRPr="00A54C73">
        <w:rPr>
          <w:rFonts w:cs="Arial"/>
          <w:color w:val="002060"/>
          <w:sz w:val="20"/>
          <w:szCs w:val="20"/>
          <w:lang w:val="en-GB"/>
        </w:rPr>
        <w:t xml:space="preserve">ontact details can be found on </w:t>
      </w:r>
      <w:r w:rsidR="00491F2D" w:rsidRPr="00A54C73">
        <w:rPr>
          <w:rFonts w:cs="Arial"/>
          <w:color w:val="002060"/>
          <w:sz w:val="20"/>
          <w:szCs w:val="20"/>
          <w:lang w:val="en-GB"/>
        </w:rPr>
        <w:t>The Gallaher Trust</w:t>
      </w:r>
      <w:r w:rsidR="002840B0" w:rsidRPr="00A54C73">
        <w:rPr>
          <w:rFonts w:cs="Arial"/>
          <w:color w:val="002060"/>
          <w:sz w:val="20"/>
          <w:szCs w:val="20"/>
          <w:lang w:val="en-GB"/>
        </w:rPr>
        <w:t xml:space="preserve"> website </w:t>
      </w:r>
      <w:hyperlink r:id="rId12" w:history="1">
        <w:r w:rsidR="002840B0" w:rsidRPr="00A54C73">
          <w:rPr>
            <w:rStyle w:val="Hyperlink"/>
            <w:rFonts w:cs="Arial"/>
            <w:color w:val="002060"/>
            <w:sz w:val="20"/>
            <w:szCs w:val="20"/>
            <w:lang w:val="en-GB"/>
          </w:rPr>
          <w:t>www.thegallahertrust.org.</w:t>
        </w:r>
      </w:hyperlink>
    </w:p>
    <w:p w14:paraId="6C6BCC9E" w14:textId="77777777" w:rsidR="0039600D" w:rsidRPr="00A54C73" w:rsidRDefault="0039600D" w:rsidP="00967E4A">
      <w:pPr>
        <w:jc w:val="both"/>
        <w:rPr>
          <w:sz w:val="20"/>
          <w:szCs w:val="20"/>
        </w:rPr>
      </w:pPr>
    </w:p>
    <w:p w14:paraId="7E95BA16" w14:textId="77777777" w:rsidR="001E65AE" w:rsidRPr="00A54C73" w:rsidRDefault="001E65AE" w:rsidP="00AE3EA1">
      <w:pPr>
        <w:spacing w:line="276" w:lineRule="auto"/>
        <w:jc w:val="both"/>
        <w:rPr>
          <w:rFonts w:cs="Arial"/>
          <w:b/>
          <w:bCs/>
          <w:color w:val="002060"/>
          <w:sz w:val="20"/>
          <w:szCs w:val="20"/>
          <w:lang w:val="en-GB"/>
        </w:rPr>
      </w:pPr>
      <w:r w:rsidRPr="00A54C73">
        <w:rPr>
          <w:rFonts w:cs="Arial"/>
          <w:b/>
          <w:bCs/>
          <w:color w:val="002060"/>
          <w:sz w:val="20"/>
          <w:szCs w:val="20"/>
          <w:lang w:val="en-GB"/>
        </w:rPr>
        <w:t xml:space="preserve">Businesses </w:t>
      </w:r>
    </w:p>
    <w:p w14:paraId="1210C877" w14:textId="4CBFA44A" w:rsidR="00077937" w:rsidRPr="00A54C73" w:rsidRDefault="3C8367CF" w:rsidP="3C8367CF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 xml:space="preserve">The Gallaher Trust is a registered charity and as such is unable to provide funding directly to profit making businesses. However, you may be able to benefit from </w:t>
      </w:r>
      <w:r w:rsidR="00C25D6E" w:rsidRPr="00A54C73">
        <w:rPr>
          <w:rFonts w:cs="Arial"/>
          <w:color w:val="002060"/>
          <w:sz w:val="20"/>
          <w:szCs w:val="20"/>
          <w:lang w:val="en-GB"/>
        </w:rPr>
        <w:t xml:space="preserve">the </w:t>
      </w:r>
      <w:r w:rsidRPr="00A54C73">
        <w:rPr>
          <w:rFonts w:cs="Arial"/>
          <w:color w:val="002060"/>
          <w:sz w:val="20"/>
          <w:szCs w:val="20"/>
          <w:lang w:val="en-GB"/>
        </w:rPr>
        <w:t>projects supported by the Trust as our key aim is to promote job creation and skills development in the wider Ballymena area.</w:t>
      </w:r>
      <w:r w:rsidR="00077937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r w:rsidR="00504A1F" w:rsidRPr="00A54C73">
        <w:rPr>
          <w:rFonts w:cs="Arial"/>
          <w:color w:val="002060"/>
          <w:sz w:val="20"/>
          <w:szCs w:val="20"/>
          <w:lang w:val="en-GB"/>
        </w:rPr>
        <w:t>Of note</w:t>
      </w:r>
      <w:r w:rsidR="00761553">
        <w:rPr>
          <w:rFonts w:cs="Arial"/>
          <w:color w:val="002060"/>
          <w:sz w:val="20"/>
          <w:szCs w:val="20"/>
          <w:lang w:val="en-GB"/>
        </w:rPr>
        <w:t>,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 xml:space="preserve"> the NI Hospitality School </w:t>
      </w:r>
      <w:r w:rsidR="00846F45" w:rsidRPr="00A54C73">
        <w:rPr>
          <w:rFonts w:cs="Arial"/>
          <w:color w:val="002060"/>
          <w:sz w:val="20"/>
          <w:szCs w:val="20"/>
          <w:lang w:val="en-GB"/>
        </w:rPr>
        <w:t>i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>s a</w:t>
      </w:r>
      <w:r w:rsidR="00761553">
        <w:rPr>
          <w:rFonts w:cs="Arial"/>
          <w:color w:val="002060"/>
          <w:sz w:val="20"/>
          <w:szCs w:val="20"/>
          <w:lang w:val="en-GB"/>
        </w:rPr>
        <w:t xml:space="preserve"> good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 xml:space="preserve"> example</w:t>
      </w:r>
      <w:r w:rsidR="00846F45" w:rsidRPr="00A54C73">
        <w:rPr>
          <w:rFonts w:cs="Arial"/>
          <w:color w:val="002060"/>
          <w:sz w:val="20"/>
          <w:szCs w:val="20"/>
          <w:lang w:val="en-GB"/>
        </w:rPr>
        <w:t xml:space="preserve"> where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 xml:space="preserve"> three businesses came together to form a not</w:t>
      </w:r>
      <w:r w:rsidR="00761553">
        <w:rPr>
          <w:rFonts w:cs="Arial"/>
          <w:color w:val="002060"/>
          <w:sz w:val="20"/>
          <w:szCs w:val="20"/>
          <w:lang w:val="en-GB"/>
        </w:rPr>
        <w:t>-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>for</w:t>
      </w:r>
      <w:r w:rsidR="00761553">
        <w:rPr>
          <w:rFonts w:cs="Arial"/>
          <w:color w:val="002060"/>
          <w:sz w:val="20"/>
          <w:szCs w:val="20"/>
          <w:lang w:val="en-GB"/>
        </w:rPr>
        <w:t>-</w:t>
      </w:r>
      <w:r w:rsidR="00422CD4" w:rsidRPr="00A54C73">
        <w:rPr>
          <w:rFonts w:cs="Arial"/>
          <w:color w:val="002060"/>
          <w:sz w:val="20"/>
          <w:szCs w:val="20"/>
          <w:lang w:val="en-GB"/>
        </w:rPr>
        <w:t>profit</w:t>
      </w:r>
      <w:r w:rsidR="005A5B02" w:rsidRPr="00A54C73">
        <w:rPr>
          <w:rFonts w:cs="Arial"/>
          <w:color w:val="002060"/>
          <w:sz w:val="20"/>
          <w:szCs w:val="20"/>
          <w:lang w:val="en-GB"/>
        </w:rPr>
        <w:t xml:space="preserve"> to be able to access funds and create jobs – more information can be found at www.thegallahertrust.org.</w:t>
      </w:r>
    </w:p>
    <w:p w14:paraId="07B927DD" w14:textId="77777777" w:rsidR="00077937" w:rsidRPr="00A54C73" w:rsidRDefault="00077937" w:rsidP="3C8367CF">
      <w:pPr>
        <w:jc w:val="both"/>
        <w:rPr>
          <w:rFonts w:cs="Arial"/>
          <w:color w:val="002060"/>
          <w:sz w:val="20"/>
          <w:szCs w:val="20"/>
          <w:lang w:val="en-GB"/>
        </w:rPr>
      </w:pPr>
    </w:p>
    <w:p w14:paraId="103CE980" w14:textId="1C21C961" w:rsidR="005A33FD" w:rsidRPr="00A54C73" w:rsidRDefault="00C25D6E" w:rsidP="3C8367CF">
      <w:pPr>
        <w:jc w:val="both"/>
        <w:rPr>
          <w:rFonts w:cs="Arial"/>
          <w:color w:val="002060"/>
          <w:sz w:val="20"/>
          <w:szCs w:val="20"/>
          <w:lang w:val="en-GB"/>
        </w:rPr>
      </w:pPr>
      <w:r w:rsidRPr="00A54C73">
        <w:rPr>
          <w:rFonts w:cs="Arial"/>
          <w:color w:val="002060"/>
          <w:sz w:val="20"/>
          <w:szCs w:val="20"/>
          <w:lang w:val="en-GB"/>
        </w:rPr>
        <w:t>Additionally</w:t>
      </w:r>
      <w:r w:rsidR="3C8367CF" w:rsidRPr="00A54C73">
        <w:rPr>
          <w:rFonts w:cs="Arial"/>
          <w:color w:val="002060"/>
          <w:sz w:val="20"/>
          <w:szCs w:val="20"/>
          <w:lang w:val="en-GB"/>
        </w:rPr>
        <w:t xml:space="preserve">, businesses can access support and advice, including information on grants and access to finance, by contacting </w:t>
      </w:r>
      <w:r w:rsidR="00170CB7" w:rsidRPr="00A54C73">
        <w:rPr>
          <w:rFonts w:cs="Arial"/>
          <w:color w:val="002060"/>
          <w:sz w:val="20"/>
          <w:szCs w:val="20"/>
          <w:lang w:val="en-GB"/>
        </w:rPr>
        <w:t xml:space="preserve">the Economic Development team at Mid and East Antrim Borough Council </w:t>
      </w:r>
      <w:hyperlink r:id="rId13" w:tgtFrame="_blank" w:history="1">
        <w:r w:rsidR="00170CB7" w:rsidRPr="00A54C73">
          <w:rPr>
            <w:rStyle w:val="Hyperlink"/>
            <w:rFonts w:cs="Arial"/>
            <w:color w:val="002060"/>
            <w:sz w:val="20"/>
            <w:szCs w:val="20"/>
            <w:lang w:val="en-GB"/>
          </w:rPr>
          <w:t>Economic Development | Mid and East Antrim Borough Council</w:t>
        </w:r>
      </w:hyperlink>
      <w:r w:rsidR="00170CB7" w:rsidRPr="00A54C73">
        <w:rPr>
          <w:rFonts w:cs="Segoe UI"/>
          <w:color w:val="00206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170CB7" w:rsidRPr="00A54C73">
        <w:rPr>
          <w:rFonts w:cs="Arial"/>
          <w:color w:val="002060"/>
          <w:sz w:val="20"/>
          <w:szCs w:val="20"/>
          <w:lang w:val="en-GB"/>
        </w:rPr>
        <w:t>or email</w:t>
      </w:r>
      <w:r w:rsidRPr="00A54C73">
        <w:rPr>
          <w:rFonts w:cs="Arial"/>
          <w:color w:val="002060"/>
          <w:sz w:val="20"/>
          <w:szCs w:val="20"/>
          <w:lang w:val="en-GB"/>
        </w:rPr>
        <w:t>ing</w:t>
      </w:r>
      <w:r w:rsidR="00170CB7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  <w:hyperlink r:id="rId14">
        <w:r w:rsidR="00170CB7" w:rsidRPr="00A54C73">
          <w:rPr>
            <w:rStyle w:val="Hyperlink"/>
            <w:rFonts w:cs="Arial"/>
            <w:color w:val="002060"/>
            <w:sz w:val="20"/>
            <w:szCs w:val="20"/>
            <w:lang w:val="en-GB"/>
          </w:rPr>
          <w:t>amplify@midandeastantrim.gov.uk</w:t>
        </w:r>
        <w:r w:rsidR="3C8367CF" w:rsidRPr="00A54C73">
          <w:rPr>
            <w:rStyle w:val="Hyperlink"/>
            <w:rFonts w:cs="Arial"/>
            <w:color w:val="002060"/>
            <w:sz w:val="20"/>
            <w:szCs w:val="20"/>
            <w:lang w:val="en-GB"/>
          </w:rPr>
          <w:t> </w:t>
        </w:r>
      </w:hyperlink>
      <w:r w:rsidR="4A81EBB4" w:rsidRPr="00A54C73">
        <w:rPr>
          <w:rFonts w:cs="Arial"/>
          <w:color w:val="002060"/>
          <w:sz w:val="20"/>
          <w:szCs w:val="20"/>
          <w:lang w:val="en-GB"/>
        </w:rPr>
        <w:t xml:space="preserve"> or</w:t>
      </w:r>
      <w:r w:rsidRPr="00A54C73">
        <w:rPr>
          <w:rFonts w:cs="Arial"/>
          <w:color w:val="002060"/>
          <w:sz w:val="20"/>
          <w:szCs w:val="20"/>
          <w:lang w:val="en-GB"/>
        </w:rPr>
        <w:t xml:space="preserve"> by contacting</w:t>
      </w:r>
      <w:r w:rsidR="3C8367CF" w:rsidRPr="00A54C73">
        <w:rPr>
          <w:rFonts w:cs="Arial"/>
          <w:color w:val="002060"/>
          <w:sz w:val="20"/>
          <w:szCs w:val="20"/>
          <w:lang w:val="en-GB"/>
        </w:rPr>
        <w:t xml:space="preserve"> the Ballymena Business Centre </w:t>
      </w:r>
      <w:hyperlink r:id="rId15">
        <w:r w:rsidR="3C8367CF" w:rsidRPr="00A54C73">
          <w:rPr>
            <w:rStyle w:val="Hyperlink"/>
            <w:rFonts w:cs="Arial"/>
            <w:color w:val="002060"/>
            <w:sz w:val="20"/>
            <w:szCs w:val="20"/>
            <w:lang w:val="en-GB"/>
          </w:rPr>
          <w:t>www.ballymenabusiness.co.uk</w:t>
        </w:r>
      </w:hyperlink>
      <w:r w:rsidR="3C8367CF" w:rsidRPr="00A54C73">
        <w:rPr>
          <w:rFonts w:cs="Arial"/>
          <w:color w:val="002060"/>
          <w:sz w:val="20"/>
          <w:szCs w:val="20"/>
          <w:lang w:val="en-GB"/>
        </w:rPr>
        <w:t xml:space="preserve"> </w:t>
      </w:r>
    </w:p>
    <w:p w14:paraId="659004D3" w14:textId="61160E22" w:rsidR="00170CB7" w:rsidRPr="00A54C73" w:rsidRDefault="00170CB7" w:rsidP="3C8367CF">
      <w:pPr>
        <w:jc w:val="both"/>
        <w:rPr>
          <w:rFonts w:cs="Arial"/>
          <w:sz w:val="20"/>
          <w:szCs w:val="20"/>
          <w:lang w:val="en-GB"/>
        </w:rPr>
      </w:pPr>
    </w:p>
    <w:sectPr w:rsidR="00170CB7" w:rsidRPr="00A54C73" w:rsidSect="00A54C73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4B35" w14:textId="77777777" w:rsidR="008B4FB8" w:rsidRDefault="008B4FB8" w:rsidP="00E72EEF">
      <w:r>
        <w:separator/>
      </w:r>
    </w:p>
  </w:endnote>
  <w:endnote w:type="continuationSeparator" w:id="0">
    <w:p w14:paraId="60584434" w14:textId="77777777" w:rsidR="008B4FB8" w:rsidRDefault="008B4FB8" w:rsidP="00E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75474242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2063935229"/>
          <w:docPartObj>
            <w:docPartGallery w:val="Page Numbers (Top of Page)"/>
            <w:docPartUnique/>
          </w:docPartObj>
        </w:sdtPr>
        <w:sdtContent>
          <w:p w14:paraId="0B1CBA24" w14:textId="77777777" w:rsidR="00C020FB" w:rsidRPr="0005137A" w:rsidRDefault="00C020F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137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716F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5137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716F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5137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0EAAA3" w14:textId="77777777" w:rsidR="000B159B" w:rsidRPr="00E50B89" w:rsidRDefault="000B159B" w:rsidP="000B159B">
    <w:pPr>
      <w:pStyle w:val="Footer"/>
      <w:rPr>
        <w:sz w:val="18"/>
        <w:lang w:val="en-GB"/>
      </w:rPr>
    </w:pPr>
    <w:r w:rsidRPr="005F31E7">
      <w:rPr>
        <w:sz w:val="18"/>
      </w:rPr>
      <w:t>The Gallaher Trust is a Registered Charity</w:t>
    </w:r>
    <w:r>
      <w:rPr>
        <w:sz w:val="18"/>
      </w:rPr>
      <w:t xml:space="preserve"> based in Ballymena, Northern Ireland. Charity Register Number:</w:t>
    </w:r>
    <w:r w:rsidRPr="005F31E7">
      <w:rPr>
        <w:sz w:val="18"/>
      </w:rPr>
      <w:t xml:space="preserve"> NIC106498</w:t>
    </w:r>
    <w:r>
      <w:rPr>
        <w:sz w:val="18"/>
      </w:rPr>
      <w:t xml:space="preserve">. The Gallaher Trust </w:t>
    </w:r>
    <w:r w:rsidRPr="00E50B89">
      <w:rPr>
        <w:sz w:val="18"/>
        <w:lang w:val="en-GB"/>
      </w:rPr>
      <w:t xml:space="preserve">has the objective of promoting job creation and skills development and providing support to </w:t>
    </w:r>
    <w:r>
      <w:rPr>
        <w:sz w:val="18"/>
        <w:lang w:val="en-GB"/>
      </w:rPr>
      <w:t>disadvantaged adults</w:t>
    </w:r>
    <w:r w:rsidRPr="00E50B89">
      <w:rPr>
        <w:sz w:val="18"/>
        <w:lang w:val="en-GB"/>
      </w:rPr>
      <w:t xml:space="preserve"> within the wider Ballymena community.</w:t>
    </w:r>
  </w:p>
  <w:p w14:paraId="55641869" w14:textId="77777777" w:rsidR="00C020FB" w:rsidRPr="0005137A" w:rsidRDefault="00C0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4606" w14:textId="77777777" w:rsidR="00DF2D1A" w:rsidRDefault="00DF2D1A">
    <w:pPr>
      <w:pStyle w:val="Footer"/>
      <w:rPr>
        <w:sz w:val="18"/>
      </w:rPr>
    </w:pPr>
  </w:p>
  <w:p w14:paraId="24290449" w14:textId="77777777" w:rsidR="00DF2D1A" w:rsidRDefault="00DF2D1A">
    <w:pPr>
      <w:pStyle w:val="Footer"/>
      <w:rPr>
        <w:sz w:val="18"/>
      </w:rPr>
    </w:pPr>
  </w:p>
  <w:p w14:paraId="54962F86" w14:textId="77777777" w:rsidR="00DF2D1A" w:rsidRDefault="00DF2D1A">
    <w:pPr>
      <w:pStyle w:val="Footer"/>
      <w:rPr>
        <w:sz w:val="18"/>
      </w:rPr>
    </w:pPr>
  </w:p>
  <w:p w14:paraId="6BE332C5" w14:textId="77777777" w:rsidR="000B159B" w:rsidRPr="00E50B89" w:rsidRDefault="000B159B" w:rsidP="000B159B">
    <w:pPr>
      <w:pStyle w:val="Footer"/>
      <w:rPr>
        <w:sz w:val="18"/>
        <w:lang w:val="en-GB"/>
      </w:rPr>
    </w:pPr>
    <w:r w:rsidRPr="005F31E7">
      <w:rPr>
        <w:sz w:val="18"/>
      </w:rPr>
      <w:t>The Gallaher Trust is a Registered Charity</w:t>
    </w:r>
    <w:r>
      <w:rPr>
        <w:sz w:val="18"/>
      </w:rPr>
      <w:t xml:space="preserve"> based in Ballymena, Northern Ireland. Charity Register Number:</w:t>
    </w:r>
    <w:r w:rsidRPr="005F31E7">
      <w:rPr>
        <w:sz w:val="18"/>
      </w:rPr>
      <w:t xml:space="preserve"> NIC106498</w:t>
    </w:r>
    <w:r>
      <w:rPr>
        <w:sz w:val="18"/>
      </w:rPr>
      <w:t xml:space="preserve">. The Gallaher Trust </w:t>
    </w:r>
    <w:r w:rsidRPr="00E50B89">
      <w:rPr>
        <w:sz w:val="18"/>
        <w:lang w:val="en-GB"/>
      </w:rPr>
      <w:t xml:space="preserve">has the objective of promoting job creation and skills development and providing support to </w:t>
    </w:r>
    <w:r>
      <w:rPr>
        <w:sz w:val="18"/>
        <w:lang w:val="en-GB"/>
      </w:rPr>
      <w:t>disadvantaged adults</w:t>
    </w:r>
    <w:r w:rsidRPr="00E50B89">
      <w:rPr>
        <w:sz w:val="18"/>
        <w:lang w:val="en-GB"/>
      </w:rPr>
      <w:t xml:space="preserve"> within the wider Ballymena community.</w:t>
    </w:r>
  </w:p>
  <w:p w14:paraId="340388C2" w14:textId="77777777" w:rsidR="00C020FB" w:rsidRPr="0005137A" w:rsidRDefault="00C0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438B" w14:textId="77777777" w:rsidR="008B4FB8" w:rsidRDefault="008B4FB8" w:rsidP="00E72EEF">
      <w:r>
        <w:separator/>
      </w:r>
    </w:p>
  </w:footnote>
  <w:footnote w:type="continuationSeparator" w:id="0">
    <w:p w14:paraId="1D3DC42A" w14:textId="77777777" w:rsidR="008B4FB8" w:rsidRDefault="008B4FB8" w:rsidP="00E7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634A" w14:textId="77777777" w:rsidR="00C020FB" w:rsidRDefault="00C020FB">
    <w:pPr>
      <w:pStyle w:val="Header"/>
    </w:pPr>
  </w:p>
  <w:p w14:paraId="4893D7C3" w14:textId="77777777" w:rsidR="00C020FB" w:rsidRDefault="00C0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64D6" w14:textId="77777777" w:rsidR="009126D4" w:rsidRDefault="00130DB9" w:rsidP="009126D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1AF80B4" wp14:editId="04E940A7">
          <wp:simplePos x="0" y="0"/>
          <wp:positionH relativeFrom="margin">
            <wp:align>right</wp:align>
          </wp:positionH>
          <wp:positionV relativeFrom="paragraph">
            <wp:posOffset>-43098</wp:posOffset>
          </wp:positionV>
          <wp:extent cx="1669415" cy="894715"/>
          <wp:effectExtent l="0" t="0" r="6985" b="635"/>
          <wp:wrapThrough wrapText="bothSides">
            <wp:wrapPolygon edited="0">
              <wp:start x="0" y="0"/>
              <wp:lineTo x="0" y="21155"/>
              <wp:lineTo x="21444" y="21155"/>
              <wp:lineTo x="2144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D4">
      <w:tab/>
    </w:r>
    <w:r w:rsidR="009126D4">
      <w:tab/>
    </w:r>
  </w:p>
  <w:p w14:paraId="0ABE30E6" w14:textId="77777777" w:rsidR="0070076D" w:rsidRDefault="00130DB9" w:rsidP="009126D4">
    <w:pPr>
      <w:pStyle w:val="JTIfunction"/>
      <w:spacing w:before="60"/>
      <w:rPr>
        <w:b w:val="0"/>
        <w:color w:val="auto"/>
        <w:sz w:val="22"/>
      </w:rPr>
    </w:pPr>
    <w:r>
      <w:rPr>
        <w:b w:val="0"/>
        <w:color w:val="auto"/>
        <w:sz w:val="22"/>
      </w:rPr>
      <w:tab/>
    </w:r>
  </w:p>
  <w:p w14:paraId="3D66A226" w14:textId="77777777" w:rsidR="00C020FB" w:rsidRDefault="00C020FB">
    <w:pPr>
      <w:pStyle w:val="Header"/>
    </w:pPr>
  </w:p>
  <w:p w14:paraId="2567674B" w14:textId="77777777" w:rsidR="00C020FB" w:rsidRDefault="00C02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FA3"/>
    <w:multiLevelType w:val="hybridMultilevel"/>
    <w:tmpl w:val="515C8E4A"/>
    <w:lvl w:ilvl="0" w:tplc="4B345E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F43AA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F07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A492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4CFE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F8E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EA0D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602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52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6B91E39"/>
    <w:multiLevelType w:val="hybridMultilevel"/>
    <w:tmpl w:val="579E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01D9"/>
    <w:multiLevelType w:val="hybridMultilevel"/>
    <w:tmpl w:val="1CE8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E20"/>
    <w:multiLevelType w:val="hybridMultilevel"/>
    <w:tmpl w:val="5B86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741035">
    <w:abstractNumId w:val="0"/>
  </w:num>
  <w:num w:numId="2" w16cid:durableId="2089879370">
    <w:abstractNumId w:val="3"/>
  </w:num>
  <w:num w:numId="3" w16cid:durableId="163209263">
    <w:abstractNumId w:val="2"/>
  </w:num>
  <w:num w:numId="4" w16cid:durableId="139168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EF"/>
    <w:rsid w:val="0000632D"/>
    <w:rsid w:val="00014A1C"/>
    <w:rsid w:val="00016D6A"/>
    <w:rsid w:val="00026A84"/>
    <w:rsid w:val="0005137A"/>
    <w:rsid w:val="000660AB"/>
    <w:rsid w:val="00072BBE"/>
    <w:rsid w:val="0007530F"/>
    <w:rsid w:val="00077937"/>
    <w:rsid w:val="000B159B"/>
    <w:rsid w:val="000D10A1"/>
    <w:rsid w:val="000D16A8"/>
    <w:rsid w:val="000D21C8"/>
    <w:rsid w:val="000D5730"/>
    <w:rsid w:val="000D7EC3"/>
    <w:rsid w:val="001166ED"/>
    <w:rsid w:val="0011774C"/>
    <w:rsid w:val="00125DAF"/>
    <w:rsid w:val="00130DB9"/>
    <w:rsid w:val="00167F14"/>
    <w:rsid w:val="00170CB7"/>
    <w:rsid w:val="00190910"/>
    <w:rsid w:val="001C172B"/>
    <w:rsid w:val="001E0892"/>
    <w:rsid w:val="001E1E7E"/>
    <w:rsid w:val="001E65AE"/>
    <w:rsid w:val="00202B9F"/>
    <w:rsid w:val="00232ED2"/>
    <w:rsid w:val="00270AE4"/>
    <w:rsid w:val="002716F0"/>
    <w:rsid w:val="00275C7D"/>
    <w:rsid w:val="002840B0"/>
    <w:rsid w:val="00321E92"/>
    <w:rsid w:val="00333337"/>
    <w:rsid w:val="003341EC"/>
    <w:rsid w:val="00337A7F"/>
    <w:rsid w:val="00386D20"/>
    <w:rsid w:val="003932B7"/>
    <w:rsid w:val="0039600D"/>
    <w:rsid w:val="003A5A92"/>
    <w:rsid w:val="003B5489"/>
    <w:rsid w:val="003B70D5"/>
    <w:rsid w:val="003C0F99"/>
    <w:rsid w:val="003C1B21"/>
    <w:rsid w:val="003E7689"/>
    <w:rsid w:val="003F4C3F"/>
    <w:rsid w:val="0040480D"/>
    <w:rsid w:val="0041103E"/>
    <w:rsid w:val="00413B32"/>
    <w:rsid w:val="00422CD4"/>
    <w:rsid w:val="0045183B"/>
    <w:rsid w:val="00465BD6"/>
    <w:rsid w:val="0046608F"/>
    <w:rsid w:val="0046695D"/>
    <w:rsid w:val="00491F2D"/>
    <w:rsid w:val="004A25FE"/>
    <w:rsid w:val="004B31C2"/>
    <w:rsid w:val="004B7530"/>
    <w:rsid w:val="004C62EF"/>
    <w:rsid w:val="004D00CF"/>
    <w:rsid w:val="00504A1F"/>
    <w:rsid w:val="00525D12"/>
    <w:rsid w:val="005412A8"/>
    <w:rsid w:val="00550E38"/>
    <w:rsid w:val="005618A5"/>
    <w:rsid w:val="00570AF1"/>
    <w:rsid w:val="005755B0"/>
    <w:rsid w:val="00593CA8"/>
    <w:rsid w:val="005A33FD"/>
    <w:rsid w:val="005A5B02"/>
    <w:rsid w:val="005D18F0"/>
    <w:rsid w:val="005E4D0C"/>
    <w:rsid w:val="005E6662"/>
    <w:rsid w:val="005E67AD"/>
    <w:rsid w:val="005F31E7"/>
    <w:rsid w:val="00603D88"/>
    <w:rsid w:val="00631C53"/>
    <w:rsid w:val="006507B4"/>
    <w:rsid w:val="0066407C"/>
    <w:rsid w:val="00673B20"/>
    <w:rsid w:val="00683133"/>
    <w:rsid w:val="00686A9D"/>
    <w:rsid w:val="006C3B48"/>
    <w:rsid w:val="006F2A0E"/>
    <w:rsid w:val="0070076D"/>
    <w:rsid w:val="00731749"/>
    <w:rsid w:val="007524C5"/>
    <w:rsid w:val="00761553"/>
    <w:rsid w:val="00810F31"/>
    <w:rsid w:val="0081774E"/>
    <w:rsid w:val="00836D80"/>
    <w:rsid w:val="0084196C"/>
    <w:rsid w:val="00846F45"/>
    <w:rsid w:val="008518C7"/>
    <w:rsid w:val="00865025"/>
    <w:rsid w:val="00881C69"/>
    <w:rsid w:val="0088508A"/>
    <w:rsid w:val="008B4FB8"/>
    <w:rsid w:val="008D5B64"/>
    <w:rsid w:val="009077D1"/>
    <w:rsid w:val="00910C4B"/>
    <w:rsid w:val="009126B0"/>
    <w:rsid w:val="009126D4"/>
    <w:rsid w:val="00915FFF"/>
    <w:rsid w:val="00930895"/>
    <w:rsid w:val="0096467C"/>
    <w:rsid w:val="00967E4A"/>
    <w:rsid w:val="0097355F"/>
    <w:rsid w:val="00994E57"/>
    <w:rsid w:val="009C0196"/>
    <w:rsid w:val="009D2897"/>
    <w:rsid w:val="00A37CD7"/>
    <w:rsid w:val="00A51C93"/>
    <w:rsid w:val="00A54C73"/>
    <w:rsid w:val="00A84720"/>
    <w:rsid w:val="00A865A1"/>
    <w:rsid w:val="00A931F8"/>
    <w:rsid w:val="00AA5D9E"/>
    <w:rsid w:val="00AB7396"/>
    <w:rsid w:val="00AE3EA1"/>
    <w:rsid w:val="00AE5031"/>
    <w:rsid w:val="00B12E45"/>
    <w:rsid w:val="00B361E9"/>
    <w:rsid w:val="00B44391"/>
    <w:rsid w:val="00B72E2E"/>
    <w:rsid w:val="00BA7AD3"/>
    <w:rsid w:val="00BB0DF7"/>
    <w:rsid w:val="00BE43E0"/>
    <w:rsid w:val="00BE69D6"/>
    <w:rsid w:val="00BF1E10"/>
    <w:rsid w:val="00C0073F"/>
    <w:rsid w:val="00C020FB"/>
    <w:rsid w:val="00C25D6E"/>
    <w:rsid w:val="00C30741"/>
    <w:rsid w:val="00C414DB"/>
    <w:rsid w:val="00C425E4"/>
    <w:rsid w:val="00C55945"/>
    <w:rsid w:val="00C972C0"/>
    <w:rsid w:val="00CC13D9"/>
    <w:rsid w:val="00CE7DA5"/>
    <w:rsid w:val="00CF785F"/>
    <w:rsid w:val="00D0026F"/>
    <w:rsid w:val="00D0308F"/>
    <w:rsid w:val="00D22151"/>
    <w:rsid w:val="00D24585"/>
    <w:rsid w:val="00D53EFC"/>
    <w:rsid w:val="00D63238"/>
    <w:rsid w:val="00D64CFA"/>
    <w:rsid w:val="00D67590"/>
    <w:rsid w:val="00D8787D"/>
    <w:rsid w:val="00DF2D1A"/>
    <w:rsid w:val="00E06B43"/>
    <w:rsid w:val="00E45282"/>
    <w:rsid w:val="00E57948"/>
    <w:rsid w:val="00E67879"/>
    <w:rsid w:val="00E72EEF"/>
    <w:rsid w:val="00E83271"/>
    <w:rsid w:val="00E84059"/>
    <w:rsid w:val="00EA2D47"/>
    <w:rsid w:val="00EB4139"/>
    <w:rsid w:val="00EC7ACB"/>
    <w:rsid w:val="00ED40F3"/>
    <w:rsid w:val="00EE0A21"/>
    <w:rsid w:val="00EF3276"/>
    <w:rsid w:val="00F1289D"/>
    <w:rsid w:val="00F22881"/>
    <w:rsid w:val="00F4013B"/>
    <w:rsid w:val="00F50EF0"/>
    <w:rsid w:val="00F757C6"/>
    <w:rsid w:val="00F8542F"/>
    <w:rsid w:val="00F866D5"/>
    <w:rsid w:val="00F96246"/>
    <w:rsid w:val="00FB50A5"/>
    <w:rsid w:val="00FC077C"/>
    <w:rsid w:val="00FD0B4F"/>
    <w:rsid w:val="00FF03FB"/>
    <w:rsid w:val="3C8367CF"/>
    <w:rsid w:val="4A81EBB4"/>
    <w:rsid w:val="4B76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7E050"/>
  <w15:docId w15:val="{5848EB7B-15DE-431F-814E-1AF752B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4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2EEF"/>
  </w:style>
  <w:style w:type="paragraph" w:styleId="Footer">
    <w:name w:val="footer"/>
    <w:basedOn w:val="Normal"/>
    <w:link w:val="FooterChar"/>
    <w:uiPriority w:val="99"/>
    <w:unhideWhenUsed/>
    <w:rsid w:val="00E72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2EEF"/>
  </w:style>
  <w:style w:type="paragraph" w:customStyle="1" w:styleId="JTIfunction">
    <w:name w:val="JTI function"/>
    <w:qFormat/>
    <w:rsid w:val="00E72EEF"/>
    <w:pPr>
      <w:spacing w:line="220" w:lineRule="exact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Memo">
    <w:name w:val="Memo"/>
    <w:qFormat/>
    <w:rsid w:val="00E72EEF"/>
    <w:rPr>
      <w:rFonts w:ascii="Georgia" w:eastAsia="Times New Roman" w:hAnsi="Georgia" w:cs="Times New Roman"/>
      <w:sz w:val="36"/>
      <w:szCs w:val="36"/>
    </w:rPr>
  </w:style>
  <w:style w:type="character" w:styleId="Hyperlink">
    <w:name w:val="Hyperlink"/>
    <w:unhideWhenUsed/>
    <w:rsid w:val="00B12E45"/>
    <w:rPr>
      <w:color w:val="0000FF"/>
      <w:u w:val="single"/>
    </w:rPr>
  </w:style>
  <w:style w:type="paragraph" w:customStyle="1" w:styleId="Bodycopy">
    <w:name w:val="Body copy"/>
    <w:qFormat/>
    <w:rsid w:val="00B12E45"/>
    <w:pPr>
      <w:spacing w:before="240" w:line="260" w:lineRule="exact"/>
    </w:pPr>
    <w:rPr>
      <w:rFonts w:ascii="Arial" w:eastAsia="Times New Roman" w:hAnsi="Arial" w:cs="Arial"/>
      <w:szCs w:val="18"/>
    </w:rPr>
  </w:style>
  <w:style w:type="paragraph" w:customStyle="1" w:styleId="JTIaddressdetails">
    <w:name w:val="JTI address details"/>
    <w:qFormat/>
    <w:rsid w:val="00B12E45"/>
    <w:pPr>
      <w:tabs>
        <w:tab w:val="left" w:pos="2576"/>
      </w:tabs>
      <w:spacing w:line="170" w:lineRule="exact"/>
    </w:pPr>
    <w:rPr>
      <w:rFonts w:ascii="Arial" w:eastAsia="Times New Roman" w:hAnsi="Arial" w:cs="Arial"/>
      <w:color w:val="000000"/>
      <w:sz w:val="15"/>
      <w:szCs w:val="15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32E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6D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D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323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1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9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12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dandeastantrim.gov.uk/business/amplify-mid-and-east-antrim/economic-developmen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C:/Users/Greg/www.thegallahertrus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gallahertrus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llymenabusiness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plify@midandeastantrim.gov.uk&#160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6693fee-275a-4430-bd3d-e5e4fff9e650" xsi:nil="true"/>
    <lcf76f155ced4ddcb4097134ff3c332f xmlns="daeb1729-c8b4-412b-b163-67ccdb833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225A4007484FA6A7647E591FF129" ma:contentTypeVersion="18" ma:contentTypeDescription="Create a new document." ma:contentTypeScope="" ma:versionID="08ee4252838e32bdcfb467b84f04b50a">
  <xsd:schema xmlns:xsd="http://www.w3.org/2001/XMLSchema" xmlns:xs="http://www.w3.org/2001/XMLSchema" xmlns:p="http://schemas.microsoft.com/office/2006/metadata/properties" xmlns:ns2="daeb1729-c8b4-412b-b163-67ccdb833414" xmlns:ns3="66693fee-275a-4430-bd3d-e5e4fff9e650" targetNamespace="http://schemas.microsoft.com/office/2006/metadata/properties" ma:root="true" ma:fieldsID="f66a06c570451f17a07c536e998a5968" ns2:_="" ns3:_="">
    <xsd:import namespace="daeb1729-c8b4-412b-b163-67ccdb833414"/>
    <xsd:import namespace="66693fee-275a-4430-bd3d-e5e4fff9e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b1729-c8b4-412b-b163-67ccdb83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ad8f9-7d8d-4393-8453-3b26819f5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93fee-275a-4430-bd3d-e5e4fff9e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73621-5125-47a9-89ac-8791b4383b9a}" ma:internalName="TaxCatchAll" ma:showField="CatchAllData" ma:web="66693fee-275a-4430-bd3d-e5e4fff9e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33F5E-54C5-4E5B-BC66-F310D0DAD655}">
  <ds:schemaRefs>
    <ds:schemaRef ds:uri="http://schemas.microsoft.com/office/2006/metadata/properties"/>
    <ds:schemaRef ds:uri="66693fee-275a-4430-bd3d-e5e4fff9e650"/>
    <ds:schemaRef ds:uri="daeb1729-c8b4-412b-b163-67ccdb83341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BA30E-8B47-4065-AFCB-37E3AC74D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33F8-68CB-49F0-9865-0184E5FC4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46EBA-0E85-4DF4-BC13-5768CF7AE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b1729-c8b4-412b-b163-67ccdb833414"/>
    <ds:schemaRef ds:uri="66693fee-275a-4430-bd3d-e5e4fff9e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Johnston</dc:creator>
  <cp:lastModifiedBy>Patrick Johnston</cp:lastModifiedBy>
  <cp:revision>2</cp:revision>
  <cp:lastPrinted>2025-01-13T20:54:00Z</cp:lastPrinted>
  <dcterms:created xsi:type="dcterms:W3CDTF">2025-01-23T15:42:00Z</dcterms:created>
  <dcterms:modified xsi:type="dcterms:W3CDTF">2025-01-23T15:42:00Z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0x010100B28C225A4007484FA6A7647E591FF129</vt:lpwstr>
  </property>
  <property fmtid="{D5CDD505-2E9C-101B-9397-08002B2CF9AE}" pid="3" name="MediaServiceImageTags">
    <vt:lpwstr/>
  </property>
</Properties>
</file>